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0" w:type="dxa"/>
        <w:tblInd w:w="55" w:type="dxa"/>
        <w:tblCellMar>
          <w:left w:w="70" w:type="dxa"/>
          <w:right w:w="70" w:type="dxa"/>
        </w:tblCellMar>
        <w:tblLook w:val="04A0" w:firstRow="1" w:lastRow="0" w:firstColumn="1" w:lastColumn="0" w:noHBand="0" w:noVBand="1"/>
      </w:tblPr>
      <w:tblGrid>
        <w:gridCol w:w="2629"/>
        <w:gridCol w:w="840"/>
        <w:gridCol w:w="840"/>
        <w:gridCol w:w="840"/>
        <w:gridCol w:w="894"/>
        <w:gridCol w:w="840"/>
        <w:gridCol w:w="840"/>
        <w:gridCol w:w="879"/>
        <w:gridCol w:w="1480"/>
        <w:gridCol w:w="879"/>
        <w:gridCol w:w="1480"/>
        <w:gridCol w:w="879"/>
        <w:gridCol w:w="1480"/>
      </w:tblGrid>
      <w:tr w:rsidR="002D66B3" w:rsidRPr="002D66B3" w:rsidTr="002D66B3">
        <w:trPr>
          <w:trHeight w:val="720"/>
        </w:trPr>
        <w:tc>
          <w:tcPr>
            <w:tcW w:w="1480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jc w:val="center"/>
              <w:rPr>
                <w:rFonts w:ascii="Arial" w:eastAsia="Times New Roman" w:hAnsi="Arial" w:cs="Arial"/>
                <w:b/>
                <w:bCs/>
                <w:color w:val="000000"/>
                <w:lang w:eastAsia="tr-TR"/>
              </w:rPr>
            </w:pPr>
            <w:r w:rsidRPr="002D66B3">
              <w:rPr>
                <w:rFonts w:ascii="Arial" w:eastAsia="Times New Roman" w:hAnsi="Arial" w:cs="Arial"/>
                <w:b/>
                <w:bCs/>
                <w:color w:val="000000"/>
                <w:lang w:eastAsia="tr-TR"/>
              </w:rPr>
              <w:t>E.Ü. FEN BİLİMLERİ ENSTİTÜSÜNE 20</w:t>
            </w:r>
            <w:proofErr w:type="gramStart"/>
            <w:r w:rsidRPr="002D66B3">
              <w:rPr>
                <w:rFonts w:ascii="Arial" w:eastAsia="Times New Roman" w:hAnsi="Arial" w:cs="Arial"/>
                <w:b/>
                <w:bCs/>
                <w:color w:val="000000"/>
                <w:lang w:eastAsia="tr-TR"/>
              </w:rPr>
              <w:t>..</w:t>
            </w:r>
            <w:proofErr w:type="gramEnd"/>
            <w:r w:rsidRPr="002D66B3">
              <w:rPr>
                <w:rFonts w:ascii="Arial" w:eastAsia="Times New Roman" w:hAnsi="Arial" w:cs="Arial"/>
                <w:b/>
                <w:bCs/>
                <w:color w:val="000000"/>
                <w:lang w:eastAsia="tr-TR"/>
              </w:rPr>
              <w:t>-20.. ÖĞRETİM YILI ... YARIYILINDA ALINACAK LİSANSÜSTÜ ÖĞRENCİ SAYISI HAKKINDA ÖNERİ</w:t>
            </w:r>
          </w:p>
        </w:tc>
      </w:tr>
      <w:tr w:rsidR="002D66B3" w:rsidRPr="002D66B3" w:rsidTr="002D66B3">
        <w:trPr>
          <w:trHeight w:val="750"/>
        </w:trPr>
        <w:tc>
          <w:tcPr>
            <w:tcW w:w="2629" w:type="dxa"/>
            <w:vMerge w:val="restart"/>
            <w:tcBorders>
              <w:top w:val="nil"/>
              <w:left w:val="single" w:sz="4" w:space="0" w:color="auto"/>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sz w:val="32"/>
                <w:szCs w:val="32"/>
                <w:lang w:eastAsia="tr-TR"/>
              </w:rPr>
            </w:pPr>
            <w:r w:rsidRPr="002D66B3">
              <w:rPr>
                <w:rFonts w:ascii="Calibri" w:eastAsia="Times New Roman" w:hAnsi="Calibri" w:cs="Calibri"/>
                <w:b/>
                <w:bCs/>
                <w:color w:val="000000"/>
                <w:sz w:val="32"/>
                <w:szCs w:val="32"/>
                <w:lang w:eastAsia="tr-TR"/>
              </w:rPr>
              <w:t>Program adı</w:t>
            </w:r>
          </w:p>
        </w:tc>
        <w:tc>
          <w:tcPr>
            <w:tcW w:w="5094" w:type="dxa"/>
            <w:gridSpan w:val="6"/>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sz w:val="28"/>
                <w:szCs w:val="28"/>
                <w:lang w:eastAsia="tr-TR"/>
              </w:rPr>
            </w:pPr>
            <w:r w:rsidRPr="002D66B3">
              <w:rPr>
                <w:rFonts w:ascii="Calibri" w:eastAsia="Times New Roman" w:hAnsi="Calibri" w:cs="Calibri"/>
                <w:b/>
                <w:bCs/>
                <w:color w:val="000000"/>
                <w:sz w:val="28"/>
                <w:szCs w:val="28"/>
                <w:lang w:eastAsia="tr-TR"/>
              </w:rPr>
              <w:t>Önerilen Lisansüstü Kontenjanı</w:t>
            </w:r>
          </w:p>
        </w:tc>
        <w:tc>
          <w:tcPr>
            <w:tcW w:w="7077" w:type="dxa"/>
            <w:gridSpan w:val="6"/>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sz w:val="28"/>
                <w:szCs w:val="28"/>
                <w:lang w:eastAsia="tr-TR"/>
              </w:rPr>
            </w:pPr>
            <w:r w:rsidRPr="002D66B3">
              <w:rPr>
                <w:rFonts w:ascii="Calibri" w:eastAsia="Times New Roman" w:hAnsi="Calibri" w:cs="Calibri"/>
                <w:b/>
                <w:bCs/>
                <w:color w:val="000000"/>
                <w:sz w:val="28"/>
                <w:szCs w:val="28"/>
                <w:lang w:eastAsia="tr-TR"/>
              </w:rPr>
              <w:t xml:space="preserve">Aday Değerlendirme Şekli </w:t>
            </w:r>
          </w:p>
        </w:tc>
      </w:tr>
      <w:tr w:rsidR="002D66B3" w:rsidRPr="002D66B3" w:rsidTr="002D66B3">
        <w:trPr>
          <w:trHeight w:val="750"/>
        </w:trPr>
        <w:tc>
          <w:tcPr>
            <w:tcW w:w="2629" w:type="dxa"/>
            <w:vMerge/>
            <w:tcBorders>
              <w:top w:val="nil"/>
              <w:left w:val="single" w:sz="4" w:space="0" w:color="auto"/>
              <w:bottom w:val="single" w:sz="4" w:space="0" w:color="auto"/>
              <w:right w:val="single" w:sz="4" w:space="0" w:color="auto"/>
            </w:tcBorders>
            <w:vAlign w:val="center"/>
            <w:hideMark/>
          </w:tcPr>
          <w:p w:rsidR="002D66B3" w:rsidRPr="002D66B3" w:rsidRDefault="002D66B3" w:rsidP="002D66B3">
            <w:pPr>
              <w:spacing w:after="0" w:line="240" w:lineRule="auto"/>
              <w:rPr>
                <w:rFonts w:ascii="Calibri" w:eastAsia="Times New Roman" w:hAnsi="Calibri" w:cs="Calibri"/>
                <w:b/>
                <w:bCs/>
                <w:color w:val="000000"/>
                <w:sz w:val="32"/>
                <w:szCs w:val="32"/>
                <w:lang w:eastAsia="tr-TR"/>
              </w:rPr>
            </w:pP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t>Yüksek Lisans</w:t>
            </w:r>
          </w:p>
        </w:tc>
        <w:tc>
          <w:tcPr>
            <w:tcW w:w="1734" w:type="dxa"/>
            <w:gridSpan w:val="2"/>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t>Doktora</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t>Lisanstan Doktora</w:t>
            </w:r>
          </w:p>
        </w:tc>
        <w:tc>
          <w:tcPr>
            <w:tcW w:w="2359" w:type="dxa"/>
            <w:gridSpan w:val="2"/>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t>Yüksek Lisans</w:t>
            </w:r>
          </w:p>
        </w:tc>
        <w:tc>
          <w:tcPr>
            <w:tcW w:w="2359" w:type="dxa"/>
            <w:gridSpan w:val="2"/>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t>Doktora</w:t>
            </w:r>
          </w:p>
        </w:tc>
        <w:tc>
          <w:tcPr>
            <w:tcW w:w="2359" w:type="dxa"/>
            <w:gridSpan w:val="2"/>
            <w:tcBorders>
              <w:top w:val="single" w:sz="4" w:space="0" w:color="auto"/>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t>Lisanstan Doktora</w:t>
            </w:r>
          </w:p>
        </w:tc>
      </w:tr>
      <w:tr w:rsidR="002D66B3" w:rsidRPr="002D66B3" w:rsidTr="002D66B3">
        <w:trPr>
          <w:trHeight w:val="960"/>
        </w:trPr>
        <w:tc>
          <w:tcPr>
            <w:tcW w:w="2629" w:type="dxa"/>
            <w:vMerge/>
            <w:tcBorders>
              <w:top w:val="nil"/>
              <w:left w:val="single" w:sz="4" w:space="0" w:color="auto"/>
              <w:bottom w:val="single" w:sz="4" w:space="0" w:color="auto"/>
              <w:right w:val="single" w:sz="4" w:space="0" w:color="auto"/>
            </w:tcBorders>
            <w:vAlign w:val="center"/>
            <w:hideMark/>
          </w:tcPr>
          <w:p w:rsidR="002D66B3" w:rsidRPr="002D66B3" w:rsidRDefault="002D66B3" w:rsidP="002D66B3">
            <w:pPr>
              <w:spacing w:after="0" w:line="240" w:lineRule="auto"/>
              <w:rPr>
                <w:rFonts w:ascii="Calibri" w:eastAsia="Times New Roman" w:hAnsi="Calibri" w:cs="Calibri"/>
                <w:b/>
                <w:bCs/>
                <w:color w:val="000000"/>
                <w:sz w:val="32"/>
                <w:szCs w:val="32"/>
                <w:lang w:eastAsia="tr-TR"/>
              </w:rPr>
            </w:pPr>
          </w:p>
        </w:tc>
        <w:tc>
          <w:tcPr>
            <w:tcW w:w="840" w:type="dxa"/>
            <w:tcBorders>
              <w:top w:val="nil"/>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T.C. Uyruklu</w:t>
            </w:r>
          </w:p>
        </w:tc>
        <w:tc>
          <w:tcPr>
            <w:tcW w:w="840" w:type="dxa"/>
            <w:tcBorders>
              <w:top w:val="nil"/>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Yabancı Uyruklu</w:t>
            </w:r>
          </w:p>
        </w:tc>
        <w:tc>
          <w:tcPr>
            <w:tcW w:w="840" w:type="dxa"/>
            <w:tcBorders>
              <w:top w:val="nil"/>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T.C. Uyruklu</w:t>
            </w:r>
          </w:p>
        </w:tc>
        <w:tc>
          <w:tcPr>
            <w:tcW w:w="894" w:type="dxa"/>
            <w:tcBorders>
              <w:top w:val="nil"/>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Yabancı Uyruklu</w:t>
            </w:r>
          </w:p>
        </w:tc>
        <w:tc>
          <w:tcPr>
            <w:tcW w:w="840" w:type="dxa"/>
            <w:tcBorders>
              <w:top w:val="nil"/>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T.C. Uyruklu</w:t>
            </w:r>
          </w:p>
        </w:tc>
        <w:tc>
          <w:tcPr>
            <w:tcW w:w="840" w:type="dxa"/>
            <w:tcBorders>
              <w:top w:val="nil"/>
              <w:left w:val="nil"/>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Yabancı Uyruklu</w:t>
            </w:r>
          </w:p>
        </w:tc>
        <w:tc>
          <w:tcPr>
            <w:tcW w:w="879" w:type="dxa"/>
            <w:tcBorders>
              <w:top w:val="nil"/>
              <w:left w:val="nil"/>
              <w:bottom w:val="single" w:sz="4" w:space="0" w:color="auto"/>
              <w:right w:val="single" w:sz="4" w:space="0" w:color="auto"/>
            </w:tcBorders>
            <w:shd w:val="clear" w:color="000000" w:fill="D9D9D9"/>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Mülakat</w:t>
            </w:r>
          </w:p>
        </w:tc>
        <w:tc>
          <w:tcPr>
            <w:tcW w:w="1480" w:type="dxa"/>
            <w:tcBorders>
              <w:top w:val="nil"/>
              <w:left w:val="nil"/>
              <w:bottom w:val="single" w:sz="4" w:space="0" w:color="auto"/>
              <w:right w:val="single" w:sz="4" w:space="0" w:color="auto"/>
            </w:tcBorders>
            <w:shd w:val="clear" w:color="000000" w:fill="FDE9D9"/>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Yazılı Bilimsel Değerlendirme</w:t>
            </w:r>
          </w:p>
        </w:tc>
        <w:tc>
          <w:tcPr>
            <w:tcW w:w="879" w:type="dxa"/>
            <w:tcBorders>
              <w:top w:val="nil"/>
              <w:left w:val="nil"/>
              <w:bottom w:val="single" w:sz="4" w:space="0" w:color="auto"/>
              <w:right w:val="single" w:sz="4" w:space="0" w:color="auto"/>
            </w:tcBorders>
            <w:shd w:val="clear" w:color="000000" w:fill="D9D9D9"/>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Mülakat</w:t>
            </w:r>
          </w:p>
        </w:tc>
        <w:tc>
          <w:tcPr>
            <w:tcW w:w="1480" w:type="dxa"/>
            <w:tcBorders>
              <w:top w:val="nil"/>
              <w:left w:val="nil"/>
              <w:bottom w:val="single" w:sz="4" w:space="0" w:color="auto"/>
              <w:right w:val="single" w:sz="4" w:space="0" w:color="auto"/>
            </w:tcBorders>
            <w:shd w:val="clear" w:color="000000" w:fill="FDE9D9"/>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Yazılı Bilimsel Değerlendirme</w:t>
            </w:r>
          </w:p>
        </w:tc>
        <w:tc>
          <w:tcPr>
            <w:tcW w:w="879" w:type="dxa"/>
            <w:tcBorders>
              <w:top w:val="nil"/>
              <w:left w:val="nil"/>
              <w:bottom w:val="single" w:sz="4" w:space="0" w:color="auto"/>
              <w:right w:val="single" w:sz="4" w:space="0" w:color="auto"/>
            </w:tcBorders>
            <w:shd w:val="clear" w:color="000000" w:fill="D9D9D9"/>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Mülakat</w:t>
            </w:r>
          </w:p>
        </w:tc>
        <w:tc>
          <w:tcPr>
            <w:tcW w:w="1480" w:type="dxa"/>
            <w:tcBorders>
              <w:top w:val="nil"/>
              <w:left w:val="nil"/>
              <w:bottom w:val="single" w:sz="4" w:space="0" w:color="auto"/>
              <w:right w:val="single" w:sz="4" w:space="0" w:color="auto"/>
            </w:tcBorders>
            <w:shd w:val="clear" w:color="000000" w:fill="FDE9D9"/>
            <w:vAlign w:val="center"/>
            <w:hideMark/>
          </w:tcPr>
          <w:p w:rsidR="002D66B3" w:rsidRPr="002D66B3" w:rsidRDefault="002D66B3" w:rsidP="002D66B3">
            <w:pPr>
              <w:spacing w:after="0" w:line="240" w:lineRule="auto"/>
              <w:jc w:val="center"/>
              <w:rPr>
                <w:rFonts w:ascii="Calibri" w:eastAsia="Times New Roman" w:hAnsi="Calibri" w:cs="Calibri"/>
                <w:color w:val="000000"/>
                <w:lang w:eastAsia="tr-TR"/>
              </w:rPr>
            </w:pPr>
            <w:r w:rsidRPr="002D66B3">
              <w:rPr>
                <w:rFonts w:ascii="Calibri" w:eastAsia="Times New Roman" w:hAnsi="Calibri" w:cs="Calibri"/>
                <w:color w:val="000000"/>
                <w:lang w:eastAsia="tr-TR"/>
              </w:rPr>
              <w:t>Yazılı Bilimsel Değerlendirme</w:t>
            </w:r>
          </w:p>
        </w:tc>
      </w:tr>
      <w:tr w:rsidR="002D66B3" w:rsidRPr="002D66B3" w:rsidTr="002D66B3">
        <w:trPr>
          <w:trHeight w:val="600"/>
        </w:trPr>
        <w:tc>
          <w:tcPr>
            <w:tcW w:w="2629" w:type="dxa"/>
            <w:tcBorders>
              <w:top w:val="nil"/>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tr w:rsidR="002D66B3" w:rsidRPr="002D66B3" w:rsidTr="002D66B3">
        <w:trPr>
          <w:trHeight w:val="600"/>
        </w:trPr>
        <w:tc>
          <w:tcPr>
            <w:tcW w:w="2629" w:type="dxa"/>
            <w:tcBorders>
              <w:top w:val="nil"/>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tr w:rsidR="002D66B3" w:rsidRPr="002D66B3" w:rsidTr="002D66B3">
        <w:trPr>
          <w:trHeight w:val="600"/>
        </w:trPr>
        <w:tc>
          <w:tcPr>
            <w:tcW w:w="2629" w:type="dxa"/>
            <w:tcBorders>
              <w:top w:val="nil"/>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tr w:rsidR="002D66B3" w:rsidRPr="002D66B3" w:rsidTr="002D66B3">
        <w:trPr>
          <w:trHeight w:val="600"/>
        </w:trPr>
        <w:tc>
          <w:tcPr>
            <w:tcW w:w="2629" w:type="dxa"/>
            <w:tcBorders>
              <w:top w:val="nil"/>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tr w:rsidR="002D66B3" w:rsidRPr="002D66B3" w:rsidTr="002D66B3">
        <w:trPr>
          <w:trHeight w:val="600"/>
        </w:trPr>
        <w:tc>
          <w:tcPr>
            <w:tcW w:w="2629" w:type="dxa"/>
            <w:tcBorders>
              <w:top w:val="nil"/>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tr w:rsidR="002D66B3" w:rsidRPr="002D66B3" w:rsidTr="002D66B3">
        <w:trPr>
          <w:trHeight w:val="600"/>
        </w:trPr>
        <w:tc>
          <w:tcPr>
            <w:tcW w:w="2629" w:type="dxa"/>
            <w:tcBorders>
              <w:top w:val="nil"/>
              <w:left w:val="single" w:sz="4" w:space="0" w:color="auto"/>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single" w:sz="4" w:space="0" w:color="auto"/>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single" w:sz="4" w:space="0" w:color="auto"/>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single" w:sz="4" w:space="0" w:color="auto"/>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tr w:rsidR="002D66B3" w:rsidRPr="002D66B3" w:rsidTr="002D66B3">
        <w:trPr>
          <w:trHeight w:val="600"/>
        </w:trPr>
        <w:tc>
          <w:tcPr>
            <w:tcW w:w="2629" w:type="dxa"/>
            <w:tcBorders>
              <w:top w:val="nil"/>
              <w:left w:val="single" w:sz="4" w:space="0" w:color="auto"/>
              <w:bottom w:val="nil"/>
              <w:right w:val="single" w:sz="4" w:space="0" w:color="auto"/>
            </w:tcBorders>
            <w:shd w:val="clear" w:color="auto" w:fill="auto"/>
            <w:vAlign w:val="center"/>
            <w:hideMark/>
          </w:tcPr>
          <w:p w:rsidR="002D66B3" w:rsidRPr="002D66B3" w:rsidRDefault="002D66B3" w:rsidP="002D66B3">
            <w:pPr>
              <w:spacing w:after="0" w:line="240" w:lineRule="auto"/>
              <w:rPr>
                <w:rFonts w:ascii="Calibri" w:eastAsia="Times New Roman" w:hAnsi="Calibri" w:cs="Calibri"/>
                <w:b/>
                <w:bCs/>
                <w:color w:val="000000"/>
                <w:sz w:val="28"/>
                <w:szCs w:val="28"/>
                <w:lang w:eastAsia="tr-TR"/>
              </w:rPr>
            </w:pPr>
            <w:bookmarkStart w:id="0" w:name="_GoBack"/>
            <w:r w:rsidRPr="002D66B3">
              <w:rPr>
                <w:rFonts w:ascii="Calibri" w:eastAsia="Times New Roman" w:hAnsi="Calibri" w:cs="Calibri"/>
                <w:b/>
                <w:bCs/>
                <w:color w:val="000000"/>
                <w:sz w:val="28"/>
                <w:szCs w:val="28"/>
                <w:lang w:eastAsia="tr-TR"/>
              </w:rPr>
              <w:t>Anabilim Dalı Toplamı</w:t>
            </w:r>
          </w:p>
        </w:tc>
        <w:tc>
          <w:tcPr>
            <w:tcW w:w="840" w:type="dxa"/>
            <w:tcBorders>
              <w:top w:val="nil"/>
              <w:left w:val="nil"/>
              <w:bottom w:val="nil"/>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nil"/>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nil"/>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94" w:type="dxa"/>
            <w:tcBorders>
              <w:top w:val="nil"/>
              <w:left w:val="nil"/>
              <w:bottom w:val="nil"/>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nil"/>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40" w:type="dxa"/>
            <w:tcBorders>
              <w:top w:val="nil"/>
              <w:left w:val="nil"/>
              <w:bottom w:val="nil"/>
              <w:right w:val="single" w:sz="4" w:space="0" w:color="auto"/>
            </w:tcBorders>
            <w:shd w:val="clear" w:color="auto" w:fill="auto"/>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nil"/>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nil"/>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nil"/>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nil"/>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879" w:type="dxa"/>
            <w:tcBorders>
              <w:top w:val="nil"/>
              <w:left w:val="nil"/>
              <w:bottom w:val="nil"/>
              <w:right w:val="single" w:sz="4" w:space="0" w:color="auto"/>
            </w:tcBorders>
            <w:shd w:val="clear" w:color="000000" w:fill="DDD9C4"/>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c>
          <w:tcPr>
            <w:tcW w:w="1480" w:type="dxa"/>
            <w:tcBorders>
              <w:top w:val="nil"/>
              <w:left w:val="nil"/>
              <w:bottom w:val="nil"/>
              <w:right w:val="single" w:sz="4" w:space="0" w:color="auto"/>
            </w:tcBorders>
            <w:shd w:val="clear" w:color="000000" w:fill="FDE9D9"/>
            <w:vAlign w:val="bottom"/>
            <w:hideMark/>
          </w:tcPr>
          <w:p w:rsidR="002D66B3" w:rsidRPr="002D66B3" w:rsidRDefault="002D66B3" w:rsidP="002D66B3">
            <w:pPr>
              <w:spacing w:after="0" w:line="240" w:lineRule="auto"/>
              <w:rPr>
                <w:rFonts w:ascii="Calibri" w:eastAsia="Times New Roman" w:hAnsi="Calibri" w:cs="Calibri"/>
                <w:color w:val="000000"/>
                <w:lang w:eastAsia="tr-TR"/>
              </w:rPr>
            </w:pPr>
            <w:r w:rsidRPr="002D66B3">
              <w:rPr>
                <w:rFonts w:ascii="Calibri" w:eastAsia="Times New Roman" w:hAnsi="Calibri" w:cs="Calibri"/>
                <w:color w:val="000000"/>
                <w:lang w:eastAsia="tr-TR"/>
              </w:rPr>
              <w:t> </w:t>
            </w:r>
          </w:p>
        </w:tc>
      </w:tr>
      <w:bookmarkEnd w:id="0"/>
      <w:tr w:rsidR="002D66B3" w:rsidRPr="002D66B3" w:rsidTr="002D66B3">
        <w:trPr>
          <w:trHeight w:val="1860"/>
        </w:trPr>
        <w:tc>
          <w:tcPr>
            <w:tcW w:w="148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D66B3" w:rsidRPr="002D66B3" w:rsidRDefault="002D66B3" w:rsidP="002D66B3">
            <w:pPr>
              <w:spacing w:after="0" w:line="240" w:lineRule="auto"/>
              <w:rPr>
                <w:rFonts w:ascii="Calibri" w:eastAsia="Times New Roman" w:hAnsi="Calibri" w:cs="Calibri"/>
                <w:b/>
                <w:bCs/>
                <w:color w:val="000000"/>
                <w:lang w:eastAsia="tr-TR"/>
              </w:rPr>
            </w:pPr>
            <w:r w:rsidRPr="002D66B3">
              <w:rPr>
                <w:rFonts w:ascii="Calibri" w:eastAsia="Times New Roman" w:hAnsi="Calibri" w:cs="Calibri"/>
                <w:b/>
                <w:bCs/>
                <w:color w:val="000000"/>
                <w:lang w:eastAsia="tr-TR"/>
              </w:rPr>
              <w:lastRenderedPageBreak/>
              <w:t xml:space="preserve">Tek Disiplinli Anabilim Dallarında Doktora programı için, adayların ilgili alanda yüksek lisans yapmış olması; Lisans Dereceli Doktora programı için adayların ilgili alanda lisans yapmış olması ilkesi dikkate alınarak programa kabul için önkoşulunuz var ise belirtiniz.                                                                                                                                                                          </w:t>
            </w:r>
            <w:r w:rsidRPr="002D66B3">
              <w:rPr>
                <w:rFonts w:ascii="Calibri" w:eastAsia="Times New Roman" w:hAnsi="Calibri" w:cs="Calibri"/>
                <w:b/>
                <w:bCs/>
                <w:color w:val="000000"/>
                <w:sz w:val="24"/>
                <w:szCs w:val="24"/>
                <w:lang w:eastAsia="tr-TR"/>
              </w:rPr>
              <w:t>ÖNKOŞUL:</w:t>
            </w:r>
          </w:p>
        </w:tc>
      </w:tr>
      <w:tr w:rsidR="002D66B3" w:rsidRPr="002D66B3" w:rsidTr="002D66B3">
        <w:trPr>
          <w:trHeight w:val="750"/>
        </w:trPr>
        <w:tc>
          <w:tcPr>
            <w:tcW w:w="1480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D66B3" w:rsidRPr="002D66B3" w:rsidRDefault="002D66B3" w:rsidP="002D66B3">
            <w:pPr>
              <w:spacing w:after="0" w:line="240" w:lineRule="auto"/>
              <w:rPr>
                <w:rFonts w:ascii="Calibri" w:eastAsia="Times New Roman" w:hAnsi="Calibri" w:cs="Calibri"/>
                <w:color w:val="000000"/>
                <w:sz w:val="16"/>
                <w:szCs w:val="16"/>
                <w:lang w:eastAsia="tr-TR"/>
              </w:rPr>
            </w:pPr>
            <w:r w:rsidRPr="002D66B3">
              <w:rPr>
                <w:rFonts w:ascii="Calibri" w:eastAsia="Times New Roman" w:hAnsi="Calibri" w:cs="Calibri"/>
                <w:color w:val="000000"/>
                <w:sz w:val="16"/>
                <w:szCs w:val="16"/>
                <w:lang w:eastAsia="tr-TR"/>
              </w:rPr>
              <w:t xml:space="preserve">a) Yüksek Lisans ve doktora programlarında öğretim üyesi başına düşen tez danışmanlığı üst sınırı 12'dir. Ancak ÖYP ve 35.Madde kapsamında görevlendirilenler, yabancı uyruklu öğrenciler, lisansüstü programdan ilişiğini kestirmediği için programa kayıtlı görünen fakat ilgili dönemde kayıt yenilemeyen öğrenciler ile aftan yararlanarak geri dönenlerden herhangi biri olmak üzere 6 öğrenci 13.02.2015 tarih ve 05-3 sayılı Senato Kararında belirtilen 12 sayısına </w:t>
            </w:r>
            <w:proofErr w:type="gramStart"/>
            <w:r w:rsidRPr="002D66B3">
              <w:rPr>
                <w:rFonts w:ascii="Calibri" w:eastAsia="Times New Roman" w:hAnsi="Calibri" w:cs="Calibri"/>
                <w:color w:val="000000"/>
                <w:sz w:val="16"/>
                <w:szCs w:val="16"/>
                <w:lang w:eastAsia="tr-TR"/>
              </w:rPr>
              <w:t>dahil</w:t>
            </w:r>
            <w:proofErr w:type="gramEnd"/>
            <w:r w:rsidRPr="002D66B3">
              <w:rPr>
                <w:rFonts w:ascii="Calibri" w:eastAsia="Times New Roman" w:hAnsi="Calibri" w:cs="Calibri"/>
                <w:color w:val="000000"/>
                <w:sz w:val="16"/>
                <w:szCs w:val="16"/>
                <w:lang w:eastAsia="tr-TR"/>
              </w:rPr>
              <w:t xml:space="preserve"> edilmez.</w:t>
            </w:r>
          </w:p>
        </w:tc>
      </w:tr>
      <w:tr w:rsidR="002D66B3" w:rsidRPr="002D66B3" w:rsidTr="002D66B3">
        <w:trPr>
          <w:trHeight w:val="480"/>
        </w:trPr>
        <w:tc>
          <w:tcPr>
            <w:tcW w:w="148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D66B3" w:rsidRPr="002D66B3" w:rsidRDefault="002D66B3" w:rsidP="002D66B3">
            <w:pPr>
              <w:spacing w:after="0" w:line="240" w:lineRule="auto"/>
              <w:rPr>
                <w:rFonts w:ascii="Calibri" w:eastAsia="Times New Roman" w:hAnsi="Calibri" w:cs="Calibri"/>
                <w:color w:val="000000"/>
                <w:sz w:val="16"/>
                <w:szCs w:val="16"/>
                <w:lang w:eastAsia="tr-TR"/>
              </w:rPr>
            </w:pPr>
            <w:r w:rsidRPr="002D66B3">
              <w:rPr>
                <w:rFonts w:ascii="Calibri" w:eastAsia="Times New Roman" w:hAnsi="Calibri" w:cs="Calibri"/>
                <w:color w:val="000000"/>
                <w:sz w:val="16"/>
                <w:szCs w:val="16"/>
                <w:lang w:eastAsia="tr-TR"/>
              </w:rPr>
              <w:t xml:space="preserve">b) Lisansüstü eğitim öğretim programı açılması ve yürütülmesine dair ilkeler gereğince; </w:t>
            </w:r>
            <w:r w:rsidRPr="002D66B3">
              <w:rPr>
                <w:rFonts w:ascii="Calibri" w:eastAsia="Times New Roman" w:hAnsi="Calibri" w:cs="Calibri"/>
                <w:b/>
                <w:bCs/>
                <w:i/>
                <w:iCs/>
                <w:color w:val="000000"/>
                <w:sz w:val="16"/>
                <w:szCs w:val="16"/>
                <w:lang w:eastAsia="tr-TR"/>
              </w:rPr>
              <w:t xml:space="preserve">yüksek lisans </w:t>
            </w:r>
            <w:r w:rsidRPr="002D66B3">
              <w:rPr>
                <w:rFonts w:ascii="Calibri" w:eastAsia="Times New Roman" w:hAnsi="Calibri" w:cs="Calibri"/>
                <w:color w:val="000000"/>
                <w:sz w:val="16"/>
                <w:szCs w:val="16"/>
                <w:lang w:eastAsia="tr-TR"/>
              </w:rPr>
              <w:t xml:space="preserve">programına </w:t>
            </w:r>
            <w:proofErr w:type="gramStart"/>
            <w:r w:rsidRPr="002D66B3">
              <w:rPr>
                <w:rFonts w:ascii="Calibri" w:eastAsia="Times New Roman" w:hAnsi="Calibri" w:cs="Calibri"/>
                <w:color w:val="000000"/>
                <w:sz w:val="16"/>
                <w:szCs w:val="16"/>
                <w:lang w:eastAsia="tr-TR"/>
              </w:rPr>
              <w:t>kontenjan  açılabilmesi</w:t>
            </w:r>
            <w:proofErr w:type="gramEnd"/>
            <w:r w:rsidRPr="002D66B3">
              <w:rPr>
                <w:rFonts w:ascii="Calibri" w:eastAsia="Times New Roman" w:hAnsi="Calibri" w:cs="Calibri"/>
                <w:color w:val="000000"/>
                <w:sz w:val="16"/>
                <w:szCs w:val="16"/>
                <w:lang w:eastAsia="tr-TR"/>
              </w:rPr>
              <w:t xml:space="preserve"> için alanında kadrolu en az ikisi profesör veya doçent olmak üzere üç öğretim üyesinin bulunması, </w:t>
            </w:r>
            <w:r w:rsidRPr="002D66B3">
              <w:rPr>
                <w:rFonts w:ascii="Calibri" w:eastAsia="Times New Roman" w:hAnsi="Calibri" w:cs="Calibri"/>
                <w:b/>
                <w:bCs/>
                <w:i/>
                <w:iCs/>
                <w:color w:val="000000"/>
                <w:sz w:val="16"/>
                <w:szCs w:val="16"/>
                <w:lang w:eastAsia="tr-TR"/>
              </w:rPr>
              <w:t>Doktora</w:t>
            </w:r>
            <w:r w:rsidRPr="002D66B3">
              <w:rPr>
                <w:rFonts w:ascii="Calibri" w:eastAsia="Times New Roman" w:hAnsi="Calibri" w:cs="Calibri"/>
                <w:color w:val="000000"/>
                <w:sz w:val="16"/>
                <w:szCs w:val="16"/>
                <w:lang w:eastAsia="tr-TR"/>
              </w:rPr>
              <w:t xml:space="preserve"> programına kontenjan açılabilmesi için; alanında kadrolu ikisi profesör veya biri profesör ikisi doçent olmak üzere altı öğretim üyesinin bulunması gerekir.</w:t>
            </w:r>
          </w:p>
        </w:tc>
      </w:tr>
      <w:tr w:rsidR="002D66B3" w:rsidRPr="002D66B3" w:rsidTr="002D66B3">
        <w:trPr>
          <w:trHeight w:val="450"/>
        </w:trPr>
        <w:tc>
          <w:tcPr>
            <w:tcW w:w="148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D66B3" w:rsidRPr="002D66B3" w:rsidRDefault="002D66B3" w:rsidP="002D66B3">
            <w:pPr>
              <w:spacing w:after="0" w:line="240" w:lineRule="auto"/>
              <w:rPr>
                <w:rFonts w:ascii="Calibri" w:eastAsia="Times New Roman" w:hAnsi="Calibri" w:cs="Calibri"/>
                <w:color w:val="000000"/>
                <w:sz w:val="16"/>
                <w:szCs w:val="16"/>
                <w:lang w:eastAsia="tr-TR"/>
              </w:rPr>
            </w:pPr>
            <w:r w:rsidRPr="002D66B3">
              <w:rPr>
                <w:rFonts w:ascii="Calibri" w:eastAsia="Times New Roman" w:hAnsi="Calibri" w:cs="Calibri"/>
                <w:color w:val="000000"/>
                <w:sz w:val="16"/>
                <w:szCs w:val="16"/>
                <w:lang w:eastAsia="tr-TR"/>
              </w:rPr>
              <w:t>c) Bir anabilim dalına bağlı olarak Yükseköğretim Kurulunca onaylanmış ayrı lisansüstü programları için ayrı ayrı kontenjan ilan edilebilir. Bunun dışında kontenjanlar sadece anabilim dalı bazında ilan edilecektir.</w:t>
            </w:r>
          </w:p>
        </w:tc>
      </w:tr>
      <w:tr w:rsidR="002D66B3" w:rsidRPr="002D66B3" w:rsidTr="002D66B3">
        <w:trPr>
          <w:trHeight w:val="255"/>
        </w:trPr>
        <w:tc>
          <w:tcPr>
            <w:tcW w:w="1480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D66B3" w:rsidRPr="002D66B3" w:rsidRDefault="002D66B3" w:rsidP="002D66B3">
            <w:pPr>
              <w:spacing w:after="0" w:line="240" w:lineRule="auto"/>
              <w:rPr>
                <w:rFonts w:ascii="Calibri" w:eastAsia="Times New Roman" w:hAnsi="Calibri" w:cs="Calibri"/>
                <w:color w:val="000000"/>
                <w:sz w:val="16"/>
                <w:szCs w:val="16"/>
                <w:lang w:eastAsia="tr-TR"/>
              </w:rPr>
            </w:pPr>
            <w:r w:rsidRPr="002D66B3">
              <w:rPr>
                <w:rFonts w:ascii="Calibri" w:eastAsia="Times New Roman" w:hAnsi="Calibri" w:cs="Calibri"/>
                <w:color w:val="000000"/>
                <w:sz w:val="16"/>
                <w:szCs w:val="16"/>
                <w:lang w:eastAsia="tr-TR"/>
              </w:rPr>
              <w:t>d) Doktora programındaki asgari öğretim üyesi sayısı ile aynı zamanda doktora programı ile aynı isimli tezli, tezsiz yüksek lisans programları da yürütülebilecektir.</w:t>
            </w:r>
          </w:p>
        </w:tc>
      </w:tr>
    </w:tbl>
    <w:p w:rsidR="009C01C4" w:rsidRPr="002C7815" w:rsidRDefault="009C01C4" w:rsidP="002C7815"/>
    <w:sectPr w:rsidR="009C01C4" w:rsidRPr="002C7815" w:rsidSect="002D66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15"/>
    <w:rsid w:val="002C7815"/>
    <w:rsid w:val="002D66B3"/>
    <w:rsid w:val="009C0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69DB-85B3-4680-B494-12BCD01F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2018-12-07T08:11:00Z</dcterms:created>
  <dcterms:modified xsi:type="dcterms:W3CDTF">2018-12-07T12:13:00Z</dcterms:modified>
</cp:coreProperties>
</file>